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C7C65"/>
          <w:spacing w:val="40"/>
          <w:sz w:val="20"/>
          <w:szCs w:val="20"/>
        </w:rPr>
        <w:t xml:space="preserve">HIRABLY</w:t>
      </w:r>
    </w:p>
    <w:p>
      <w:pPr>
        <w:pStyle w:val="Heading1"/>
      </w:pPr>
      <w:r>
        <w:t xml:space="preserve">Evidence checklist</w:t>
      </w:r>
    </w:p>
    <w:p>
      <w:pPr>
        <w:pBdr>
          <w:bottom w:val="single" w:color="1C7C65" w:sz="6" w:space="6"/>
        </w:pBdr>
        <w:spacing w:after="160"/>
      </w:pPr>
      <w:r>
        <w:rPr>
          <w:color w:val="68746F"/>
          <w:sz w:val="20"/>
          <w:szCs w:val="20"/>
        </w:rPr>
        <w:t xml:space="preserve">Know who you’re hiring. · hirably.com</w:t>
      </w:r>
    </w:p>
    <w:p>
      <w:pPr>
        <w:spacing w:after="200"/>
      </w:pPr>
      <w:r>
        <w:t xml:space="preserve">Use this checklist before uploading anything. Each check lists the details to enter, the documents to attach and the rules a reviewer applies. Completing it in full is what keeps a check inside its normal timing: 36 hours for digital checks, 7 to 10 days for a physical address visit.</w:t>
      </w:r>
    </w:p>
    <w:p>
      <w:pPr>
        <w:pStyle w:val="Heading2"/>
      </w:pPr>
      <w:r>
        <w:t xml:space="preserve">Rules for every upload</w:t>
      </w:r>
    </w:p>
    <w:p>
      <w:pPr>
        <w:pStyle w:val="ListParagraph"/>
        <w:numPr>
          <w:ilvl w:val="0"/>
          <w:numId w:val="2"/>
        </w:numPr>
      </w:pPr>
      <w:r>
        <w:t xml:space="preserve">PDF, JPG or PNG only. Each file under 10 MB.</w:t>
      </w:r>
    </w:p>
    <w:p>
      <w:pPr>
        <w:pStyle w:val="ListParagraph"/>
        <w:numPr>
          <w:ilvl w:val="0"/>
          <w:numId w:val="2"/>
        </w:numPr>
      </w:pPr>
      <w:r>
        <w:t xml:space="preserve">Photograph documents flat in daylight — all four corners in frame, no fingers over text.</w:t>
      </w:r>
    </w:p>
    <w:p>
      <w:pPr>
        <w:pStyle w:val="ListParagraph"/>
        <w:numPr>
          <w:ilvl w:val="0"/>
          <w:numId w:val="2"/>
        </w:numPr>
      </w:pPr>
      <w:r>
        <w:t xml:space="preserve">No cropping, no editing, no annotation on the document image.</w:t>
      </w:r>
    </w:p>
    <w:p>
      <w:pPr>
        <w:pStyle w:val="ListParagraph"/>
        <w:numPr>
          <w:ilvl w:val="0"/>
          <w:numId w:val="2"/>
        </w:numPr>
      </w:pPr>
      <w:r>
        <w:t xml:space="preserve">One document per file, named so a reviewer can tell what it is (for example police-extract-2026.pdf).</w:t>
      </w:r>
    </w:p>
    <w:p>
      <w:pPr>
        <w:pStyle w:val="ListParagraph"/>
        <w:numPr>
          <w:ilvl w:val="0"/>
          <w:numId w:val="2"/>
        </w:numPr>
      </w:pPr>
      <w:r>
        <w:t xml:space="preserve">Reference numbers, stamps, signatures and dates must all be readable without zooming past 200%.</w:t>
      </w:r>
    </w:p>
    <w:p>
      <w:pPr>
        <w:pStyle w:val="ListParagraph"/>
        <w:numPr>
          <w:ilvl w:val="0"/>
          <w:numId w:val="2"/>
        </w:numPr>
      </w:pPr>
      <w:r>
        <w:t xml:space="preserve">Redact nothing. A partly hidden document is returned as unreadable.</w:t>
      </w:r>
    </w:p>
    <w:p>
      <w:pPr>
        <w:pStyle w:val="ListParagraph"/>
        <w:numPr>
          <w:ilvl w:val="0"/>
          <w:numId w:val="2"/>
        </w:numPr>
      </w:pPr>
      <w:r>
        <w:t xml:space="preserve">Upload the same details you typed into the form — a mismatch between form and document delays the check.</w:t>
      </w:r>
    </w:p>
    <w:p>
      <w:pPr>
        <w:pStyle w:val="Heading2"/>
      </w:pPr>
      <w:r>
        <w:t xml:space="preserve">Identity verification</w:t>
      </w:r>
    </w:p>
    <w:p>
      <w:pPr>
        <w:spacing w:after="80"/>
      </w:pPr>
      <w:r>
        <w:rPr>
          <w:b/>
          <w:bCs/>
        </w:rPr>
        <w:t xml:space="preserve">Completed by: </w:t>
      </w:r>
      <w:r>
        <w:t xml:space="preserve">Employer or household</w:t>
      </w:r>
      <w:r>
        <w:rPr>
          <w:b/>
          <w:bCs/>
        </w:rPr>
        <w:t xml:space="preserve">   Timing: </w:t>
      </w:r>
      <w:r>
        <w:t xml:space="preserve">Entered when the request is created. Settles within 36 hours of the worker consenting.</w:t>
      </w:r>
    </w:p>
    <w:p>
      <w:pPr>
        <w:spacing w:after="80"/>
      </w:pPr>
      <w:r>
        <w:rPr>
          <w:color w:val="4F5C59"/>
        </w:rPr>
        <w:t xml:space="preserve">Confirms the worker is the person named on official records before any other check begins.</w:t>
      </w:r>
    </w:p>
    <w:p>
      <w:pPr>
        <w:spacing w:after="100" w:before="200"/>
      </w:pPr>
      <w:r>
        <w:rPr>
          <w:b/>
          <w:bCs/>
          <w:color w:val="1C7C65"/>
          <w:sz w:val="22"/>
          <w:szCs w:val="22"/>
        </w:rPr>
        <w:t xml:space="preserve">Details to enter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Full name</w:t>
      </w:r>
      <w:r>
        <w:t xml:space="preserve"/>
      </w:r>
      <w:r>
        <w:t xml:space="preserve"> — Exactly as written on the national record — surname, first name, middle name.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National Identification Number</w:t>
      </w:r>
      <w:r>
        <w:t xml:space="preserve"/>
      </w:r>
      <w:r>
        <w:t xml:space="preserve"> — 11 digits, no spaces. Bank numbers are not accepted for new requests.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Date of birth</w:t>
      </w:r>
      <w:r>
        <w:t xml:space="preserve"/>
      </w:r>
      <w:r>
        <w:t xml:space="preserve"> — Day, month, year.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Mobile number</w:t>
      </w:r>
      <w:r>
        <w:t xml:space="preserve"/>
      </w:r>
      <w:r>
        <w:t xml:space="preserve"> — The number the worker actually answers — the consent message goes there.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Role being filled</w:t>
      </w:r>
      <w:r>
        <w:t xml:space="preserve"/>
      </w:r>
      <w:r>
        <w:t xml:space="preserve"> — For example driver, nanny, cashier, warehouse assistant.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Driver’s licence number</w:t>
      </w:r>
      <w:r>
        <w:t xml:space="preserve"> (only if it applies)</w:t>
      </w:r>
      <w:r>
        <w:t xml:space="preserve"> — Required only when the role involves driving.</w:t>
      </w:r>
    </w:p>
    <w:p>
      <w:pPr>
        <w:spacing w:after="100" w:before="200"/>
      </w:pPr>
      <w:r>
        <w:rPr>
          <w:b/>
          <w:bCs/>
          <w:color w:val="1C7C65"/>
          <w:sz w:val="22"/>
          <w:szCs w:val="22"/>
        </w:rPr>
        <w:t xml:space="preserve">Documents to attach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Driver’s licence image</w:t>
      </w:r>
      <w:r>
        <w:t xml:space="preserve"> (optional)</w:t>
      </w:r>
      <w:r>
        <w:t xml:space="preserve"> — Front of the card, all four corners visible. Only for driving roles.</w:t>
      </w:r>
    </w:p>
    <w:p>
      <w:pPr>
        <w:spacing w:after="100" w:before="200"/>
      </w:pPr>
      <w:r>
        <w:rPr>
          <w:b/>
          <w:bCs/>
          <w:color w:val="1C7C65"/>
          <w:sz w:val="22"/>
          <w:szCs w:val="22"/>
        </w:rPr>
        <w:t xml:space="preserve">How this is handled</w:t>
      </w:r>
    </w:p>
    <w:p>
      <w:pPr>
        <w:pStyle w:val="ListParagraph"/>
        <w:numPr>
          <w:ilvl w:val="0"/>
          <w:numId w:val="3"/>
        </w:numPr>
      </w:pPr>
      <w:r>
        <w:rPr>
          <w:color w:val="4F5C59"/>
        </w:rPr>
        <w:t xml:space="preserve">One agreement from the worker covers every check on the request; nothing runs before that agreement is given.</w:t>
      </w:r>
    </w:p>
    <w:p>
      <w:pPr>
        <w:pStyle w:val="ListParagraph"/>
        <w:numPr>
          <w:ilvl w:val="0"/>
          <w:numId w:val="3"/>
        </w:numPr>
      </w:pPr>
      <w:r>
        <w:rPr>
          <w:color w:val="4F5C59"/>
        </w:rPr>
        <w:t xml:space="preserve">Names are compared field by field against the official record — spelling matters more than order.</w:t>
      </w:r>
    </w:p>
    <w:p>
      <w:pPr>
        <w:pStyle w:val="Heading2"/>
      </w:pPr>
      <w:r>
        <w:t xml:space="preserve">Residential address</w:t>
      </w:r>
    </w:p>
    <w:p>
      <w:pPr>
        <w:spacing w:after="80"/>
      </w:pPr>
      <w:r>
        <w:rPr>
          <w:b/>
          <w:bCs/>
        </w:rPr>
        <w:t xml:space="preserve">Completed by: </w:t>
      </w:r>
      <w:r>
        <w:t xml:space="preserve">Employer or household</w:t>
      </w:r>
      <w:r>
        <w:rPr>
          <w:b/>
          <w:bCs/>
        </w:rPr>
        <w:t xml:space="preserve">   Timing: </w:t>
      </w:r>
      <w:r>
        <w:t xml:space="preserve">Digital confirmation settles within 36 hours. A physical visit takes 7 to 10 days.</w:t>
      </w:r>
    </w:p>
    <w:p>
      <w:pPr>
        <w:spacing w:after="80"/>
      </w:pPr>
      <w:r>
        <w:rPr>
          <w:color w:val="4F5C59"/>
        </w:rPr>
        <w:t xml:space="preserve">Confirms where the worker lives, so there is a traceable home address on file.</w:t>
      </w:r>
    </w:p>
    <w:p>
      <w:pPr>
        <w:spacing w:after="100" w:before="200"/>
      </w:pPr>
      <w:r>
        <w:rPr>
          <w:b/>
          <w:bCs/>
          <w:color w:val="1C7C65"/>
          <w:sz w:val="22"/>
          <w:szCs w:val="22"/>
        </w:rPr>
        <w:t xml:space="preserve">Details to enter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Street and house number</w:t>
      </w:r>
      <w:r>
        <w:t xml:space="preserve"/>
      </w:r>
      <w:r>
        <w:t xml:space="preserve"> — As a visitor would find it, including flat or gate number.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City or town</w:t>
      </w:r>
      <w:r>
        <w:t xml:space="preserve"/>
      </w:r>
      <w:r>
        <w:t xml:space="preserve"> — Nearest recognised town, not an estate marketing name.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Local government area</w:t>
      </w:r>
      <w:r>
        <w:t xml:space="preserve"/>
      </w:r>
      <w:r>
        <w:t xml:space="preserve"> — Full LGA name.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State</w:t>
      </w:r>
      <w:r>
        <w:t xml:space="preserve"/>
      </w:r>
      <w:r>
        <w:t xml:space="preserve"> — Full state name.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Nearest landmark</w:t>
      </w:r>
      <w:r>
        <w:t xml:space="preserve"/>
      </w:r>
      <w:r>
        <w:t xml:space="preserve"> — A junction, school, church, mosque or market a stranger can find.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Contact person at the address</w:t>
      </w:r>
      <w:r>
        <w:t xml:space="preserve"> (only if it applies)</w:t>
      </w:r>
      <w:r>
        <w:t xml:space="preserve"> — Name and number of whoever can open the gate. Optional but speeds up a visit.</w:t>
      </w:r>
    </w:p>
    <w:p>
      <w:pPr>
        <w:spacing w:after="100" w:before="200"/>
      </w:pPr>
      <w:r>
        <w:rPr>
          <w:b/>
          <w:bCs/>
          <w:color w:val="1C7C65"/>
          <w:sz w:val="22"/>
          <w:szCs w:val="22"/>
        </w:rPr>
        <w:t xml:space="preserve">How this is handled</w:t>
      </w:r>
    </w:p>
    <w:p>
      <w:pPr>
        <w:pStyle w:val="ListParagraph"/>
        <w:numPr>
          <w:ilvl w:val="0"/>
          <w:numId w:val="3"/>
        </w:numPr>
      </w:pPr>
      <w:r>
        <w:rPr>
          <w:color w:val="4F5C59"/>
        </w:rPr>
        <w:t xml:space="preserve">A digital confirmation and a physical visit are recorded separately and never described as the same thing.</w:t>
      </w:r>
    </w:p>
    <w:p>
      <w:pPr>
        <w:pStyle w:val="ListParagraph"/>
        <w:numPr>
          <w:ilvl w:val="0"/>
          <w:numId w:val="3"/>
        </w:numPr>
      </w:pPr>
      <w:r>
        <w:rPr>
          <w:color w:val="4F5C59"/>
        </w:rPr>
        <w:t xml:space="preserve">If nobody is available at the address, the visit is reported as not confirmed — it is not left blank.</w:t>
      </w:r>
    </w:p>
    <w:p>
      <w:pPr>
        <w:pStyle w:val="Heading2"/>
      </w:pPr>
      <w:r>
        <w:t xml:space="preserve">Guarantor verification</w:t>
      </w:r>
    </w:p>
    <w:p>
      <w:pPr>
        <w:spacing w:after="80"/>
      </w:pPr>
      <w:r>
        <w:rPr>
          <w:b/>
          <w:bCs/>
        </w:rPr>
        <w:t xml:space="preserve">Completed by: </w:t>
      </w:r>
      <w:r>
        <w:t xml:space="preserve">Guarantor</w:t>
      </w:r>
      <w:r>
        <w:rPr>
          <w:b/>
          <w:bCs/>
        </w:rPr>
        <w:t xml:space="preserve">   Timing: </w:t>
      </w:r>
      <w:r>
        <w:t xml:space="preserve">The guarantor gets a private link by WhatsApp, SMS and email. Most complete it the same day.</w:t>
      </w:r>
    </w:p>
    <w:p>
      <w:pPr>
        <w:spacing w:after="80"/>
      </w:pPr>
      <w:r>
        <w:rPr>
          <w:color w:val="4F5C59"/>
        </w:rPr>
        <w:t xml:space="preserve">Records a named adult who accepts responsibility for the worker, with their own identity confirmed.</w:t>
      </w:r>
    </w:p>
    <w:p>
      <w:pPr>
        <w:spacing w:after="100" w:before="200"/>
      </w:pPr>
      <w:r>
        <w:rPr>
          <w:b/>
          <w:bCs/>
          <w:color w:val="1C7C65"/>
          <w:sz w:val="22"/>
          <w:szCs w:val="22"/>
        </w:rPr>
        <w:t xml:space="preserve">Details to enter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Full name</w:t>
      </w:r>
      <w:r>
        <w:t xml:space="preserve"/>
      </w:r>
      <w:r>
        <w:t xml:space="preserve"> — As written on the guarantor’s own ID.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Relationship to the worker</w:t>
      </w:r>
      <w:r>
        <w:t xml:space="preserve"/>
      </w:r>
      <w:r>
        <w:t xml:space="preserve"> — For example uncle, former employer, pastor, colleague.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Mobile number</w:t>
      </w:r>
      <w:r>
        <w:t xml:space="preserve"/>
      </w:r>
      <w:r>
        <w:t xml:space="preserve"> — Receives the private link. No Hirably account is needed.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Email address</w:t>
      </w:r>
      <w:r>
        <w:t xml:space="preserve"/>
      </w:r>
      <w:r>
        <w:t xml:space="preserve"> — A copy of the link and the completed record is sent here.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National Identification Number</w:t>
      </w:r>
      <w:r>
        <w:t xml:space="preserve"/>
      </w:r>
      <w:r>
        <w:t xml:space="preserve"> — 11 digits, matching the ID uploaded.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Occupation and employer</w:t>
      </w:r>
      <w:r>
        <w:t xml:space="preserve"/>
      </w:r>
      <w:r>
        <w:t xml:space="preserve"> — Job title and the organisation named on the work ID.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Home address</w:t>
      </w:r>
      <w:r>
        <w:t xml:space="preserve"/>
      </w:r>
      <w:r>
        <w:t xml:space="preserve"> — Street, city, LGA, state and nearest landmark.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Years known</w:t>
      </w:r>
      <w:r>
        <w:t xml:space="preserve"/>
      </w:r>
      <w:r>
        <w:t xml:space="preserve"> — How long the guarantor has known the worker.</w:t>
      </w:r>
    </w:p>
    <w:p>
      <w:pPr>
        <w:spacing w:after="100" w:before="200"/>
      </w:pPr>
      <w:r>
        <w:rPr>
          <w:b/>
          <w:bCs/>
          <w:color w:val="1C7C65"/>
          <w:sz w:val="22"/>
          <w:szCs w:val="22"/>
        </w:rPr>
        <w:t xml:space="preserve">Documents to attach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National ID</w:t>
      </w:r>
      <w:r>
        <w:t xml:space="preserve"/>
      </w:r>
      <w:r>
        <w:t xml:space="preserve"> — Clear photograph or scan of the card carrying the number given.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Work or professional ID</w:t>
      </w:r>
      <w:r>
        <w:t xml:space="preserve"/>
      </w:r>
      <w:r>
        <w:t xml:space="preserve"> — Staff card, practising licence or letter on organisation letterhead.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Photograph of the guarantor</w:t>
      </w:r>
      <w:r>
        <w:t xml:space="preserve"/>
      </w:r>
      <w:r>
        <w:t xml:space="preserve"> — Taken live on the device, face fully visible, no sunglasses or cap.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Signature</w:t>
      </w:r>
      <w:r>
        <w:t xml:space="preserve"/>
      </w:r>
      <w:r>
        <w:t xml:space="preserve"> — Signed on screen after reading the responsibility statement.</w:t>
      </w:r>
    </w:p>
    <w:p>
      <w:pPr>
        <w:spacing w:after="100" w:before="200"/>
      </w:pPr>
      <w:r>
        <w:rPr>
          <w:b/>
          <w:bCs/>
          <w:color w:val="1C7C65"/>
          <w:sz w:val="22"/>
          <w:szCs w:val="22"/>
        </w:rPr>
        <w:t xml:space="preserve">How this is handled</w:t>
      </w:r>
    </w:p>
    <w:p>
      <w:pPr>
        <w:pStyle w:val="ListParagraph"/>
        <w:numPr>
          <w:ilvl w:val="0"/>
          <w:numId w:val="3"/>
        </w:numPr>
      </w:pPr>
      <w:r>
        <w:rPr>
          <w:color w:val="4F5C59"/>
        </w:rPr>
        <w:t xml:space="preserve">The guarantor must read and accept the responsibility statement before signing — the signature alone is not enough.</w:t>
      </w:r>
    </w:p>
    <w:p>
      <w:pPr>
        <w:pStyle w:val="ListParagraph"/>
        <w:numPr>
          <w:ilvl w:val="0"/>
          <w:numId w:val="3"/>
        </w:numPr>
      </w:pPr>
      <w:r>
        <w:rPr>
          <w:color w:val="4F5C59"/>
        </w:rPr>
        <w:t xml:space="preserve">Documents are stored privately and only released inside the guarantor record the requesting employer downloads.</w:t>
      </w:r>
    </w:p>
    <w:p>
      <w:pPr>
        <w:pStyle w:val="ListParagraph"/>
        <w:numPr>
          <w:ilvl w:val="0"/>
          <w:numId w:val="3"/>
        </w:numPr>
      </w:pPr>
      <w:r>
        <w:rPr>
          <w:color w:val="4F5C59"/>
        </w:rPr>
        <w:t xml:space="preserve">A guarantor who declines is recorded as declined; nobody is asked to sign on their behalf.</w:t>
      </w:r>
    </w:p>
    <w:p>
      <w:pPr>
        <w:pStyle w:val="Heading2"/>
      </w:pPr>
      <w:r>
        <w:t xml:space="preserve">Previous employment</w:t>
      </w:r>
    </w:p>
    <w:p>
      <w:pPr>
        <w:spacing w:after="80"/>
      </w:pPr>
      <w:r>
        <w:rPr>
          <w:b/>
          <w:bCs/>
        </w:rPr>
        <w:t xml:space="preserve">Completed by: </w:t>
      </w:r>
      <w:r>
        <w:t xml:space="preserve">Employer or household</w:t>
      </w:r>
      <w:r>
        <w:rPr>
          <w:b/>
          <w:bCs/>
        </w:rPr>
        <w:t xml:space="preserve">   Timing: </w:t>
      </w:r>
      <w:r>
        <w:t xml:space="preserve">Settles within 36 hours once the referee responds.</w:t>
      </w:r>
    </w:p>
    <w:p>
      <w:pPr>
        <w:spacing w:after="80"/>
      </w:pPr>
      <w:r>
        <w:rPr>
          <w:color w:val="4F5C59"/>
        </w:rPr>
        <w:t xml:space="preserve">Confirms the worker held the job they claim, with dates, from someone who can speak to it.</w:t>
      </w:r>
    </w:p>
    <w:p>
      <w:pPr>
        <w:spacing w:after="100" w:before="200"/>
      </w:pPr>
      <w:r>
        <w:rPr>
          <w:b/>
          <w:bCs/>
          <w:color w:val="1C7C65"/>
          <w:sz w:val="22"/>
          <w:szCs w:val="22"/>
        </w:rPr>
        <w:t xml:space="preserve">Details to enter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Previous employer or household name</w:t>
      </w:r>
      <w:r>
        <w:t xml:space="preserve"/>
      </w:r>
      <w:r>
        <w:t xml:space="preserve"> — The organisation or the family name.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Referee name and position</w:t>
      </w:r>
      <w:r>
        <w:t xml:space="preserve"/>
      </w:r>
      <w:r>
        <w:t xml:space="preserve"> — Someone who supervised the worker directly.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Referee phone number</w:t>
      </w:r>
      <w:r>
        <w:t xml:space="preserve"/>
      </w:r>
      <w:r>
        <w:t xml:space="preserve"> — A number the referee answers.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Referee email address</w:t>
      </w:r>
      <w:r>
        <w:t xml:space="preserve"> (only if it applies)</w:t>
      </w:r>
      <w:r>
        <w:t xml:space="preserve"> — Where a written confirmation can be sent.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Job title held</w:t>
      </w:r>
      <w:r>
        <w:t xml:space="preserve"/>
      </w:r>
      <w:r>
        <w:t xml:space="preserve"> — The role as the previous employer would describe it.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Start and end dates</w:t>
      </w:r>
      <w:r>
        <w:t xml:space="preserve"/>
      </w:r>
      <w:r>
        <w:t xml:space="preserve"> — Month and year for each.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Reason for leaving as stated by the worker</w:t>
      </w:r>
      <w:r>
        <w:t xml:space="preserve"/>
      </w:r>
      <w:r>
        <w:t xml:space="preserve"> — Recorded as the worker’s own account.</w:t>
      </w:r>
    </w:p>
    <w:p>
      <w:pPr>
        <w:spacing w:after="100" w:before="200"/>
      </w:pPr>
      <w:r>
        <w:rPr>
          <w:b/>
          <w:bCs/>
          <w:color w:val="1C7C65"/>
          <w:sz w:val="22"/>
          <w:szCs w:val="22"/>
        </w:rPr>
        <w:t xml:space="preserve">Documents to attach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Employment or reference letter</w:t>
      </w:r>
      <w:r>
        <w:t xml:space="preserve"> (optional)</w:t>
      </w:r>
      <w:r>
        <w:t xml:space="preserve"> — Optional. Include only if the worker already holds one.</w:t>
      </w:r>
    </w:p>
    <w:p>
      <w:pPr>
        <w:spacing w:after="100" w:before="200"/>
      </w:pPr>
      <w:r>
        <w:rPr>
          <w:b/>
          <w:bCs/>
          <w:color w:val="1C7C65"/>
          <w:sz w:val="22"/>
          <w:szCs w:val="22"/>
        </w:rPr>
        <w:t xml:space="preserve">How this is handled</w:t>
      </w:r>
    </w:p>
    <w:p>
      <w:pPr>
        <w:pStyle w:val="ListParagraph"/>
        <w:numPr>
          <w:ilvl w:val="0"/>
          <w:numId w:val="3"/>
        </w:numPr>
      </w:pPr>
      <w:r>
        <w:rPr>
          <w:color w:val="4F5C59"/>
        </w:rPr>
        <w:t xml:space="preserve">What the referee says is recorded as their statement, not as a Hirably finding.</w:t>
      </w:r>
    </w:p>
    <w:p>
      <w:pPr>
        <w:pStyle w:val="ListParagraph"/>
        <w:numPr>
          <w:ilvl w:val="0"/>
          <w:numId w:val="3"/>
        </w:numPr>
      </w:pPr>
      <w:r>
        <w:rPr>
          <w:color w:val="4F5C59"/>
        </w:rPr>
        <w:t xml:space="preserve">If the referee does not respond, the check is reported as no response — never as a negative.</w:t>
      </w:r>
    </w:p>
    <w:p>
      <w:pPr>
        <w:pStyle w:val="Heading2"/>
      </w:pPr>
      <w:r>
        <w:t xml:space="preserve">Serious misconduct record</w:t>
      </w:r>
    </w:p>
    <w:p>
      <w:pPr>
        <w:spacing w:after="80"/>
      </w:pPr>
      <w:r>
        <w:rPr>
          <w:b/>
          <w:bCs/>
        </w:rPr>
        <w:t xml:space="preserve">Completed by: </w:t>
      </w:r>
      <w:r>
        <w:t xml:space="preserve">Employer or household</w:t>
      </w:r>
      <w:r>
        <w:rPr>
          <w:b/>
          <w:bCs/>
        </w:rPr>
        <w:t xml:space="preserve">   Timing: </w:t>
      </w:r>
      <w:r>
        <w:t xml:space="preserve">Filed by the employer, then reviewed by Hirably compliance before it becomes visible.</w:t>
      </w:r>
    </w:p>
    <w:p>
      <w:pPr>
        <w:spacing w:after="80"/>
      </w:pPr>
      <w:r>
        <w:rPr>
          <w:color w:val="4F5C59"/>
        </w:rPr>
        <w:t xml:space="preserve">Files a police-reported serious crime against a worker so other employers can see it on a check.</w:t>
      </w:r>
    </w:p>
    <w:p>
      <w:pPr>
        <w:spacing w:after="100" w:before="200"/>
      </w:pPr>
      <w:r>
        <w:rPr>
          <w:b/>
          <w:bCs/>
          <w:color w:val="1C7C65"/>
          <w:sz w:val="22"/>
          <w:szCs w:val="22"/>
        </w:rPr>
        <w:t xml:space="preserve">Details to enter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Worker full name</w:t>
      </w:r>
      <w:r>
        <w:t xml:space="preserve"/>
      </w:r>
      <w:r>
        <w:t xml:space="preserve"> — As held in your own staff file.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Worker National Identification Number</w:t>
      </w:r>
      <w:r>
        <w:t xml:space="preserve"/>
      </w:r>
      <w:r>
        <w:t xml:space="preserve"> — 11 digits. The record is attached to this number.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Worker phone number</w:t>
      </w:r>
      <w:r>
        <w:t xml:space="preserve"/>
      </w:r>
      <w:r>
        <w:t xml:space="preserve"> — The number you held for the worker while employed.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Category</w:t>
      </w:r>
      <w:r>
        <w:t xml:space="preserve"/>
      </w:r>
      <w:r>
        <w:t xml:space="preserve"> — Grand theft, financial fraud, physical assault, or deliberate destruction of property.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Date of incident</w:t>
      </w:r>
      <w:r>
        <w:t xml:space="preserve"/>
      </w:r>
      <w:r>
        <w:t xml:space="preserve"> — The date the act took place, not the date you reported it.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Police case or extract reference</w:t>
      </w:r>
      <w:r>
        <w:t xml:space="preserve"/>
      </w:r>
      <w:r>
        <w:t xml:space="preserve"> — The reference the station issued. A record cannot be filed without it.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Station and division</w:t>
      </w:r>
      <w:r>
        <w:t xml:space="preserve"/>
      </w:r>
      <w:r>
        <w:t xml:space="preserve"> — Where the report was made.</w:t>
      </w:r>
    </w:p>
    <w:p>
      <w:pPr>
        <w:spacing w:after="100" w:before="200"/>
      </w:pPr>
      <w:r>
        <w:rPr>
          <w:b/>
          <w:bCs/>
          <w:color w:val="1C7C65"/>
          <w:sz w:val="22"/>
          <w:szCs w:val="22"/>
        </w:rPr>
        <w:t xml:space="preserve">Documents to attach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Police report or extract</w:t>
      </w:r>
      <w:r>
        <w:t xml:space="preserve"/>
      </w:r>
      <w:r>
        <w:t xml:space="preserve"> — Station stamp, signature, case reference and the worker’s name must all be legible.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Internal query letter</w:t>
      </w:r>
      <w:r>
        <w:t xml:space="preserve"/>
      </w:r>
      <w:r>
        <w:t xml:space="preserve"> — The letter you issued to the worker at the time, showing they were given a chance to respond.</w:t>
      </w:r>
    </w:p>
    <w:p>
      <w:pPr>
        <w:spacing w:after="100" w:before="200"/>
      </w:pPr>
      <w:r>
        <w:rPr>
          <w:b/>
          <w:bCs/>
          <w:color w:val="1C7C65"/>
          <w:sz w:val="22"/>
          <w:szCs w:val="22"/>
        </w:rPr>
        <w:t xml:space="preserve">How this is handled</w:t>
      </w:r>
    </w:p>
    <w:p>
      <w:pPr>
        <w:pStyle w:val="ListParagraph"/>
        <w:numPr>
          <w:ilvl w:val="0"/>
          <w:numId w:val="3"/>
        </w:numPr>
      </w:pPr>
      <w:r>
        <w:rPr>
          <w:color w:val="4F5C59"/>
        </w:rPr>
        <w:t xml:space="preserve">Only police-reported serious crime belongs here. Lateness, poor performance and personal disputes do not.</w:t>
      </w:r>
    </w:p>
    <w:p>
      <w:pPr>
        <w:pStyle w:val="ListParagraph"/>
        <w:numPr>
          <w:ilvl w:val="0"/>
          <w:numId w:val="3"/>
        </w:numPr>
      </w:pPr>
      <w:r>
        <w:rPr>
          <w:color w:val="4F5C59"/>
        </w:rPr>
        <w:t xml:space="preserve">Both attestations must be ticked: that the threshold is met, and that the documents are genuine.</w:t>
      </w:r>
    </w:p>
    <w:p>
      <w:pPr>
        <w:pStyle w:val="ListParagraph"/>
        <w:numPr>
          <w:ilvl w:val="0"/>
          <w:numId w:val="3"/>
        </w:numPr>
      </w:pPr>
      <w:r>
        <w:rPr>
          <w:color w:val="4F5C59"/>
        </w:rPr>
        <w:t xml:space="preserve">The worker can contest the record. Contested records are hidden from other employers while compliance re-checks them, and each record can be appealed once.</w:t>
      </w:r>
    </w:p>
    <w:p>
      <w:pPr>
        <w:pStyle w:val="Heading2"/>
      </w:pPr>
      <w:r>
        <w:t xml:space="preserve">Worker response and contest pack</w:t>
      </w:r>
    </w:p>
    <w:p>
      <w:pPr>
        <w:spacing w:after="80"/>
      </w:pPr>
      <w:r>
        <w:rPr>
          <w:b/>
          <w:bCs/>
        </w:rPr>
        <w:t xml:space="preserve">Completed by: </w:t>
      </w:r>
      <w:r>
        <w:t xml:space="preserve">Worker</w:t>
      </w:r>
      <w:r>
        <w:rPr>
          <w:b/>
          <w:bCs/>
        </w:rPr>
        <w:t xml:space="preserve">   Timing: </w:t>
      </w:r>
      <w:r>
        <w:t xml:space="preserve">Available any time from the worker portal. Compliance re-checks within 7 days.</w:t>
      </w:r>
    </w:p>
    <w:p>
      <w:pPr>
        <w:spacing w:after="80"/>
      </w:pPr>
      <w:r>
        <w:rPr>
          <w:color w:val="4F5C59"/>
        </w:rPr>
        <w:t xml:space="preserve">Lets a worker answer a record filed about them with their own evidence.</w:t>
      </w:r>
    </w:p>
    <w:p>
      <w:pPr>
        <w:spacing w:after="100" w:before="200"/>
      </w:pPr>
      <w:r>
        <w:rPr>
          <w:b/>
          <w:bCs/>
          <w:color w:val="1C7C65"/>
          <w:sz w:val="22"/>
          <w:szCs w:val="22"/>
        </w:rPr>
        <w:t xml:space="preserve">Details to enter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National Identification Number</w:t>
      </w:r>
      <w:r>
        <w:t xml:space="preserve"/>
      </w:r>
      <w:r>
        <w:t xml:space="preserve"> — 11 digits — the same number the record is attached to.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Phone number</w:t>
      </w:r>
      <w:r>
        <w:t xml:space="preserve"/>
      </w:r>
      <w:r>
        <w:t xml:space="preserve"> — The number an employer holds for you.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Written statement</w:t>
      </w:r>
      <w:r>
        <w:t xml:space="preserve"/>
      </w:r>
      <w:r>
        <w:t xml:space="preserve"> — What happened in your own words, and what is wrong in the record.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What you are asking for</w:t>
      </w:r>
      <w:r>
        <w:t xml:space="preserve"/>
      </w:r>
      <w:r>
        <w:t xml:space="preserve"> — Correction of a detail, or removal of the whole record.</w:t>
      </w:r>
    </w:p>
    <w:p>
      <w:pPr>
        <w:spacing w:after="100" w:before="200"/>
      </w:pPr>
      <w:r>
        <w:rPr>
          <w:b/>
          <w:bCs/>
          <w:color w:val="1C7C65"/>
          <w:sz w:val="22"/>
          <w:szCs w:val="22"/>
        </w:rPr>
        <w:t xml:space="preserve">Documents to attach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Supporting paper</w:t>
      </w:r>
      <w:r>
        <w:t xml:space="preserve"> (optional)</w:t>
      </w:r>
      <w:r>
        <w:t xml:space="preserve"> — Court papers, a case withdrawal, a corrected police extract, a settlement letter or a resignation acceptance.</w:t>
      </w:r>
    </w:p>
    <w:p>
      <w:pPr>
        <w:spacing w:after="100" w:before="200"/>
      </w:pPr>
      <w:r>
        <w:rPr>
          <w:b/>
          <w:bCs/>
          <w:color w:val="1C7C65"/>
          <w:sz w:val="22"/>
          <w:szCs w:val="22"/>
        </w:rPr>
        <w:t xml:space="preserve">How this is handled</w:t>
      </w:r>
    </w:p>
    <w:p>
      <w:pPr>
        <w:pStyle w:val="ListParagraph"/>
        <w:numPr>
          <w:ilvl w:val="0"/>
          <w:numId w:val="3"/>
        </w:numPr>
      </w:pPr>
      <w:r>
        <w:rPr>
          <w:color w:val="4F5C59"/>
        </w:rPr>
        <w:t xml:space="preserve">One appeal is allowed per record once it has already been re-checked.</w:t>
      </w:r>
    </w:p>
    <w:p>
      <w:pPr>
        <w:pStyle w:val="ListParagraph"/>
        <w:numPr>
          <w:ilvl w:val="0"/>
          <w:numId w:val="3"/>
        </w:numPr>
      </w:pPr>
      <w:r>
        <w:rPr>
          <w:color w:val="4F5C59"/>
        </w:rPr>
        <w:t xml:space="preserve">While a record is contested it is hidden from hiring partners.</w:t>
      </w:r>
    </w:p>
    <w:p>
      <w:pPr>
        <w:pStyle w:val="Heading2"/>
      </w:pPr>
      <w:r>
        <w:t xml:space="preserve">Sign-off</w:t>
      </w:r>
    </w:p>
    <w:p>
      <w:pPr>
        <w:spacing w:after="120"/>
      </w:pPr>
      <w:r>
        <w:t xml:space="preserve">Keep the signed copy in the worker’s file alongside the Hirably report.</w:t>
      </w:r>
    </w:p>
    <w:p>
      <w:pPr>
        <w:pBdr>
          <w:bottom w:val="single" w:color="B5C2BD" w:sz="6" w:space="2"/>
        </w:pBdr>
        <w:spacing w:after="200"/>
      </w:pPr>
      <w:r>
        <w:rPr>
          <w:color w:val="68746F"/>
        </w:rPr>
        <w:t xml:space="preserve">Completed by</w:t>
      </w:r>
    </w:p>
    <w:p>
      <w:pPr>
        <w:spacing w:after="0"/>
      </w:pPr>
      <w:r>
        <w:rPr>
          <w:sz w:val="2"/>
          <w:szCs w:val="2"/>
        </w:rPr>
        <w:t xml:space="preserve"/>
      </w:r>
    </w:p>
    <w:p>
      <w:pPr>
        <w:pBdr>
          <w:bottom w:val="single" w:color="B5C2BD" w:sz="6" w:space="2"/>
        </w:pBdr>
        <w:spacing w:after="200"/>
      </w:pPr>
      <w:r>
        <w:rPr>
          <w:color w:val="68746F"/>
        </w:rPr>
        <w:t xml:space="preserve">Position</w:t>
      </w:r>
    </w:p>
    <w:p>
      <w:pPr>
        <w:spacing w:after="0"/>
      </w:pPr>
      <w:r>
        <w:rPr>
          <w:sz w:val="2"/>
          <w:szCs w:val="2"/>
        </w:rPr>
        <w:t xml:space="preserve"/>
      </w:r>
    </w:p>
    <w:p>
      <w:pPr>
        <w:pBdr>
          <w:bottom w:val="single" w:color="B5C2BD" w:sz="6" w:space="2"/>
        </w:pBdr>
        <w:spacing w:after="200"/>
      </w:pPr>
      <w:r>
        <w:rPr>
          <w:color w:val="68746F"/>
        </w:rPr>
        <w:t xml:space="preserve">Date</w:t>
      </w:r>
    </w:p>
    <w:p>
      <w:pPr>
        <w:spacing w:after="0"/>
      </w:pPr>
      <w:r>
        <w:rPr>
          <w:sz w:val="2"/>
          <w:szCs w:val="2"/>
        </w:rPr>
        <w:t xml:space="preserve"/>
      </w:r>
    </w:p>
    <w:p>
      <w:pPr>
        <w:pBdr>
          <w:bottom w:val="single" w:color="B5C2BD" w:sz="6" w:space="2"/>
        </w:pBdr>
        <w:spacing w:after="200"/>
      </w:pPr>
      <w:r>
        <w:rPr>
          <w:color w:val="68746F"/>
        </w:rPr>
        <w:t xml:space="preserve">Signature</w:t>
      </w:r>
    </w:p>
    <w:p>
      <w:pPr>
        <w:spacing w:after="0"/>
      </w:pPr>
      <w:r>
        <w:rPr>
          <w:sz w:val="2"/>
          <w:szCs w:val="2"/>
        </w:rPr>
        <w:t xml:space="preserve"/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❑"/>
      <w:lvlJc w:val="left"/>
      <w:pPr>
        <w:ind w:left="400" w:hanging="280"/>
      </w:pPr>
      <w:rPr>
        <w:color w:val="1C7C65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821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120"/>
      <w:outlineLvl w:val="0"/>
    </w:pPr>
    <w:rPr>
      <w:rFonts w:ascii="Arial" w:cs="Arial" w:eastAsia="Arial" w:hAnsi="Arial"/>
      <w:b/>
      <w:bCs/>
      <w:color w:val="0B2F28"/>
      <w:sz w:val="40"/>
      <w:szCs w:val="40"/>
    </w:rPr>
  </w:style>
  <w:style w:type="paragraph" w:styleId="Heading2">
    <w:name w:val="Heading 2"/>
    <w:basedOn w:val="Normal"/>
    <w:next w:val="Normal"/>
    <w:qFormat/>
    <w:pPr>
      <w:spacing w:after="120" w:before="320"/>
      <w:outlineLvl w:val="1"/>
    </w:pPr>
    <w:rPr>
      <w:rFonts w:ascii="Arial" w:cs="Arial" w:eastAsia="Arial" w:hAnsi="Arial"/>
      <w:b/>
      <w:bCs/>
      <w:color w:val="0B2F28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2026-09-06T19:47:08.635Z</dcterms:created>
  <dcterms:modified xsi:type="dcterms:W3CDTF">2026-09-06T19:47:08.635Z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